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5E9460B8" w:rsidR="006F1C0B" w:rsidRPr="00063159" w:rsidRDefault="005E07DF" w:rsidP="00951803">
            <w:pPr>
              <w:pStyle w:val="Title"/>
              <w:spacing w:line="360" w:lineRule="auto"/>
              <w:jc w:val="left"/>
              <w:rPr>
                <w:rFonts w:ascii="Arial" w:hAnsi="Arial" w:cs="Arial"/>
              </w:rPr>
            </w:pPr>
            <w:r>
              <w:rPr>
                <w:rFonts w:ascii="Arial" w:hAnsi="Arial" w:cs="Arial"/>
              </w:rPr>
              <w:t>Silverdale Medical Centre</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6CFCA56F" w:rsidR="00DC67BB" w:rsidRPr="00A87B6C" w:rsidRDefault="00DC67BB" w:rsidP="00951803">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5E07DF">
        <w:rPr>
          <w:rFonts w:ascii="Arial" w:hAnsi="Arial" w:cs="Arial"/>
          <w:color w:val="FF0000"/>
          <w:sz w:val="20"/>
          <w:szCs w:val="20"/>
        </w:rPr>
        <w:t>Silverdale Medical Centre.</w:t>
      </w:r>
    </w:p>
    <w:p w14:paraId="4E47E5A1" w14:textId="076EA8FB"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005E07DF">
        <w:rPr>
          <w:rFonts w:ascii="Arial" w:hAnsi="Arial" w:cs="Arial"/>
          <w:color w:val="FF0000"/>
          <w:sz w:val="20"/>
          <w:szCs w:val="20"/>
        </w:rPr>
        <w:t xml:space="preserve"> Silverdale Medical Centre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w:t>
      </w:r>
      <w:proofErr w:type="gramStart"/>
      <w:r w:rsidRPr="00CF1FD5">
        <w:rPr>
          <w:rFonts w:ascii="Arial" w:hAnsi="Arial" w:cs="Arial"/>
          <w:bCs/>
          <w:sz w:val="20"/>
          <w:szCs w:val="20"/>
          <w:lang w:eastAsia="en-GB"/>
        </w:rPr>
        <w:t>are</w:t>
      </w:r>
      <w:proofErr w:type="gramEnd"/>
      <w:r w:rsidRPr="00CF1FD5">
        <w:rPr>
          <w:rFonts w:ascii="Arial" w:hAnsi="Arial" w:cs="Arial"/>
          <w:bCs/>
          <w:sz w:val="20"/>
          <w:szCs w:val="20"/>
          <w:lang w:eastAsia="en-GB"/>
        </w:rPr>
        <w:t xml:space="preserv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1BCDA4F4"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5E07DF">
        <w:rPr>
          <w:rFonts w:ascii="Arial" w:hAnsi="Arial" w:cs="Arial"/>
          <w:color w:val="FF0000"/>
          <w:sz w:val="20"/>
          <w:szCs w:val="20"/>
        </w:rPr>
        <w:t>Silverdale Medical centre</w:t>
      </w:r>
      <w:r w:rsidRPr="00A87B6C">
        <w:rPr>
          <w:rFonts w:ascii="Arial" w:hAnsi="Arial" w:cs="Arial"/>
          <w:sz w:val="20"/>
          <w:szCs w:val="20"/>
        </w:rPr>
        <w:t xml:space="preserve"> 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What </w:t>
      </w:r>
      <w:proofErr w:type="gramStart"/>
      <w:r w:rsidRPr="00C060D2">
        <w:rPr>
          <w:rFonts w:ascii="Arial" w:hAnsi="Arial" w:cs="Arial"/>
          <w:b/>
          <w:sz w:val="24"/>
          <w:szCs w:val="24"/>
          <w:lang w:eastAsia="en-GB"/>
        </w:rPr>
        <w:t>are</w:t>
      </w:r>
      <w:proofErr w:type="gramEnd"/>
      <w:r w:rsidRPr="00C060D2">
        <w:rPr>
          <w:rFonts w:ascii="Arial" w:hAnsi="Arial" w:cs="Arial"/>
          <w:b/>
          <w:sz w:val="24"/>
          <w:szCs w:val="24"/>
          <w:lang w:eastAsia="en-GB"/>
        </w:rPr>
        <w:t xml:space="preserv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2417F2" w:rsidP="00951803">
      <w:pPr>
        <w:spacing w:after="0" w:line="240" w:lineRule="auto"/>
      </w:pPr>
      <w:hyperlink r:id="rId11"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367BA17E"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commentRangeStart w:id="0"/>
      <w:commentRangeEnd w:id="0"/>
      <w:r w:rsidR="00F94D92">
        <w:rPr>
          <w:rStyle w:val="CommentReference"/>
        </w:rPr>
        <w:commentReference w:id="0"/>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lastRenderedPageBreak/>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28343305"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proofErr w:type="spellStart"/>
      <w:r w:rsidR="005E07DF">
        <w:rPr>
          <w:rFonts w:ascii="Arial" w:hAnsi="Arial" w:cs="Arial"/>
          <w:color w:val="FF0000"/>
          <w:sz w:val="20"/>
          <w:szCs w:val="20"/>
        </w:rPr>
        <w:t>Watermead</w:t>
      </w:r>
      <w:proofErr w:type="spellEnd"/>
      <w:r w:rsidR="005E07DF">
        <w:rPr>
          <w:rFonts w:ascii="Arial" w:hAnsi="Arial" w:cs="Arial"/>
          <w:color w:val="FF0000"/>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w:t>
      </w:r>
      <w:r>
        <w:rPr>
          <w:rFonts w:ascii="Arial" w:hAnsi="Arial" w:cs="Arial"/>
          <w:bCs/>
          <w:sz w:val="20"/>
          <w:szCs w:val="20"/>
        </w:rPr>
        <w:lastRenderedPageBreak/>
        <w:t xml:space="preserve">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2408AB21" w14:textId="77777777" w:rsidR="005E07DF" w:rsidRPr="005E07DF" w:rsidRDefault="005E07DF" w:rsidP="00951803">
      <w:pPr>
        <w:spacing w:line="240" w:lineRule="auto"/>
        <w:rPr>
          <w:rFonts w:ascii="Arial" w:hAnsi="Arial" w:cs="Arial"/>
          <w:sz w:val="20"/>
          <w:szCs w:val="20"/>
        </w:rPr>
      </w:pPr>
      <w:r w:rsidRPr="005E07DF">
        <w:rPr>
          <w:rFonts w:ascii="Arial" w:hAnsi="Arial" w:cs="Arial"/>
          <w:sz w:val="20"/>
          <w:szCs w:val="20"/>
        </w:rPr>
        <w:t xml:space="preserve">Your request should be made to the </w:t>
      </w:r>
      <w:proofErr w:type="gramStart"/>
      <w:r w:rsidRPr="005E07DF">
        <w:rPr>
          <w:rFonts w:ascii="Arial" w:hAnsi="Arial" w:cs="Arial"/>
          <w:sz w:val="20"/>
          <w:szCs w:val="20"/>
        </w:rPr>
        <w:t>Practice</w:t>
      </w:r>
      <w:proofErr w:type="gramEnd"/>
      <w:r w:rsidRPr="005E07DF">
        <w:rPr>
          <w:rFonts w:ascii="Arial" w:hAnsi="Arial" w:cs="Arial"/>
          <w:sz w:val="20"/>
          <w:szCs w:val="20"/>
        </w:rPr>
        <w:t xml:space="preserve"> and we have a form (SAR - Subject Access Request) which you will need to complete. We are required to respond to you within one calendar month. </w:t>
      </w:r>
    </w:p>
    <w:p w14:paraId="4273D9BB" w14:textId="7F275C30"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 xml:space="preserve">or information from the </w:t>
      </w:r>
      <w:proofErr w:type="gramStart"/>
      <w:r w:rsidRPr="002C5E4A">
        <w:rPr>
          <w:rFonts w:ascii="Arial" w:hAnsi="Arial" w:cs="Arial"/>
          <w:sz w:val="20"/>
          <w:szCs w:val="20"/>
        </w:rPr>
        <w:t>hospital</w:t>
      </w:r>
      <w:proofErr w:type="gramEnd"/>
      <w:r w:rsidRPr="002C5E4A">
        <w:rPr>
          <w:rFonts w:ascii="Arial" w:hAnsi="Arial" w:cs="Arial"/>
          <w:sz w:val="20"/>
          <w:szCs w:val="20"/>
        </w:rPr>
        <w:t xml:space="preserve"> you should write direct to them</w:t>
      </w:r>
      <w:r>
        <w:rPr>
          <w:rFonts w:ascii="Arial" w:hAnsi="Arial" w:cs="Arial"/>
          <w:sz w:val="20"/>
          <w:szCs w:val="20"/>
        </w:rPr>
        <w:t xml:space="preserve">. </w:t>
      </w:r>
      <w:r w:rsidRPr="002C5E4A">
        <w:rPr>
          <w:rFonts w:ascii="Arial" w:hAnsi="Arial" w:cs="Arial"/>
          <w:sz w:val="20"/>
          <w:szCs w:val="20"/>
        </w:rPr>
        <w:t xml:space="preserve">You will need to give adequate information (full name, address, date of birth, NHS number and details of your request) so that your identity can be </w:t>
      </w:r>
      <w:proofErr w:type="gramStart"/>
      <w:r w:rsidRPr="002C5E4A">
        <w:rPr>
          <w:rFonts w:ascii="Arial" w:hAnsi="Arial" w:cs="Arial"/>
          <w:sz w:val="20"/>
          <w:szCs w:val="20"/>
        </w:rPr>
        <w:t>verified</w:t>
      </w:r>
      <w:proofErr w:type="gramEnd"/>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2417F2" w:rsidP="00951803">
      <w:pPr>
        <w:autoSpaceDE w:val="0"/>
        <w:autoSpaceDN w:val="0"/>
        <w:adjustRightInd w:val="0"/>
        <w:spacing w:after="0" w:line="240" w:lineRule="auto"/>
        <w:outlineLvl w:val="0"/>
        <w:rPr>
          <w:rFonts w:ascii="Arial" w:hAnsi="Arial" w:cs="Arial"/>
          <w:sz w:val="20"/>
          <w:szCs w:val="20"/>
          <w:lang w:eastAsia="en-GB"/>
        </w:rPr>
      </w:pPr>
      <w:hyperlink r:id="rId16"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7"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8"/>
      <w:footerReference w:type="default" r:id="rId1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22-01-21T11:40:00Z" w:initials="US">
    <w:p w14:paraId="11E42B49" w14:textId="0CC38649" w:rsidR="00F94D92" w:rsidRDefault="00F94D92">
      <w:pPr>
        <w:pStyle w:val="CommentText"/>
      </w:pPr>
      <w:r>
        <w:rPr>
          <w:rStyle w:val="CommentReference"/>
        </w:rPr>
        <w:annotationRef/>
      </w:r>
      <w:r>
        <w:t xml:space="preserve">Insert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42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1A11" w16cex:dateUtc="2022-01-21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42B49" w16cid:durableId="25951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F01E" w14:textId="77777777" w:rsidR="006955D6" w:rsidRDefault="006955D6" w:rsidP="00030BE5">
      <w:pPr>
        <w:spacing w:after="0" w:line="240" w:lineRule="auto"/>
      </w:pPr>
      <w:r>
        <w:separator/>
      </w:r>
    </w:p>
  </w:endnote>
  <w:endnote w:type="continuationSeparator" w:id="0">
    <w:p w14:paraId="1E70A349" w14:textId="77777777" w:rsidR="006955D6" w:rsidRDefault="006955D6"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2417F2"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82BF" w14:textId="77777777" w:rsidR="006955D6" w:rsidRDefault="006955D6" w:rsidP="00030BE5">
      <w:pPr>
        <w:spacing w:after="0" w:line="240" w:lineRule="auto"/>
      </w:pPr>
      <w:r>
        <w:separator/>
      </w:r>
    </w:p>
  </w:footnote>
  <w:footnote w:type="continuationSeparator" w:id="0">
    <w:p w14:paraId="36606FC4" w14:textId="77777777" w:rsidR="006955D6" w:rsidRDefault="006955D6"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241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26876">
    <w:abstractNumId w:val="0"/>
  </w:num>
  <w:num w:numId="2" w16cid:durableId="1933009164">
    <w:abstractNumId w:val="6"/>
  </w:num>
  <w:num w:numId="3" w16cid:durableId="1759406342">
    <w:abstractNumId w:val="2"/>
  </w:num>
  <w:num w:numId="4" w16cid:durableId="2145733259">
    <w:abstractNumId w:val="4"/>
  </w:num>
  <w:num w:numId="5" w16cid:durableId="1415543194">
    <w:abstractNumId w:val="5"/>
  </w:num>
  <w:num w:numId="6" w16cid:durableId="1843742402">
    <w:abstractNumId w:val="9"/>
  </w:num>
  <w:num w:numId="7" w16cid:durableId="2088992095">
    <w:abstractNumId w:val="8"/>
  </w:num>
  <w:num w:numId="8" w16cid:durableId="365982260">
    <w:abstractNumId w:val="7"/>
  </w:num>
  <w:num w:numId="9" w16cid:durableId="405495271">
    <w:abstractNumId w:val="3"/>
  </w:num>
  <w:num w:numId="10" w16cid:durableId="1224284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E07DF"/>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umar.sabat@ig-health.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nhsx.nhs.uk/information-governance/guidance/records-management-co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MCFARLANE, Gemma (SILVERDALE MEDICAL CENTRE - C82627)</cp:lastModifiedBy>
  <cp:revision>5</cp:revision>
  <dcterms:created xsi:type="dcterms:W3CDTF">2022-01-12T09:50:00Z</dcterms:created>
  <dcterms:modified xsi:type="dcterms:W3CDTF">2022-07-26T09:10:00Z</dcterms:modified>
</cp:coreProperties>
</file>